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F62451">
        <w:rPr>
          <w:rFonts w:hAnsi="宋体" w:hint="eastAsia"/>
          <w:b/>
          <w:sz w:val="32"/>
          <w:u w:val="single"/>
        </w:rPr>
        <w:t>李子</w:t>
      </w:r>
      <w:proofErr w:type="gramStart"/>
      <w:r w:rsidR="00F62451">
        <w:rPr>
          <w:rFonts w:hAnsi="宋体" w:hint="eastAsia"/>
          <w:b/>
          <w:sz w:val="32"/>
          <w:u w:val="single"/>
        </w:rPr>
        <w:t>鑫</w:t>
      </w:r>
      <w:proofErr w:type="gramEnd"/>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441A56">
        <w:rPr>
          <w:rFonts w:hAnsi="宋体" w:hint="eastAsia"/>
          <w:b/>
          <w:sz w:val="32"/>
          <w:u w:val="single"/>
        </w:rPr>
        <w:t>2018</w:t>
      </w:r>
      <w:r>
        <w:rPr>
          <w:rFonts w:hAnsi="宋体"/>
          <w:b/>
          <w:sz w:val="32"/>
          <w:u w:val="single"/>
        </w:rPr>
        <w:t xml:space="preserve"> </w:t>
      </w:r>
      <w:r>
        <w:rPr>
          <w:rFonts w:hAnsi="宋体" w:hint="eastAsia"/>
          <w:b/>
          <w:sz w:val="32"/>
        </w:rPr>
        <w:t>年</w:t>
      </w:r>
      <w:r>
        <w:rPr>
          <w:rFonts w:hAnsi="宋体"/>
          <w:b/>
          <w:sz w:val="32"/>
          <w:u w:val="single"/>
        </w:rPr>
        <w:t xml:space="preserve">  </w:t>
      </w:r>
      <w:r w:rsidR="007D5838">
        <w:rPr>
          <w:rFonts w:hAnsi="宋体" w:hint="eastAsia"/>
          <w:b/>
          <w:sz w:val="32"/>
          <w:u w:val="single"/>
        </w:rPr>
        <w:t>7</w:t>
      </w:r>
      <w:r w:rsidR="00441A56">
        <w:rPr>
          <w:rFonts w:hAnsi="宋体" w:hint="eastAsia"/>
          <w:b/>
          <w:sz w:val="32"/>
          <w:u w:val="single"/>
        </w:rPr>
        <w:t xml:space="preserve"> </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441A56">
        <w:rPr>
          <w:rFonts w:hAnsi="宋体" w:hint="eastAsia"/>
          <w:b/>
          <w:sz w:val="32"/>
          <w:u w:val="single"/>
        </w:rPr>
        <w:t>8</w:t>
      </w:r>
      <w:r>
        <w:rPr>
          <w:rFonts w:hAnsi="宋体" w:hint="eastAsia"/>
          <w:b/>
          <w:sz w:val="32"/>
        </w:rPr>
        <w:t>年</w:t>
      </w:r>
      <w:r>
        <w:rPr>
          <w:rFonts w:hAnsi="宋体"/>
          <w:b/>
          <w:sz w:val="32"/>
          <w:u w:val="single"/>
        </w:rPr>
        <w:t xml:space="preserve">  </w:t>
      </w:r>
      <w:r w:rsidR="007D5838">
        <w:rPr>
          <w:rFonts w:hAnsi="宋体" w:hint="eastAsia"/>
          <w:b/>
          <w:sz w:val="32"/>
          <w:u w:val="single"/>
        </w:rPr>
        <w:t>9</w:t>
      </w:r>
      <w:r w:rsidR="00441A56">
        <w:rPr>
          <w:rFonts w:hAnsi="宋体" w:hint="eastAsia"/>
          <w:b/>
          <w:sz w:val="32"/>
          <w:u w:val="single"/>
        </w:rPr>
        <w:t xml:space="preserve"> </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F62451">
        <w:rPr>
          <w:rFonts w:hAnsi="宋体" w:hint="eastAsia"/>
          <w:b/>
          <w:sz w:val="32"/>
          <w:u w:val="single"/>
        </w:rPr>
        <w:t>8</w:t>
      </w:r>
      <w:r>
        <w:rPr>
          <w:rFonts w:hAnsi="宋体"/>
          <w:b/>
          <w:sz w:val="32"/>
          <w:u w:val="single"/>
        </w:rPr>
        <w:t xml:space="preserve">   </w:t>
      </w:r>
      <w:r>
        <w:rPr>
          <w:rFonts w:hAnsi="宋体" w:hint="eastAsia"/>
          <w:b/>
          <w:sz w:val="32"/>
        </w:rPr>
        <w:t>年</w:t>
      </w:r>
      <w:r>
        <w:rPr>
          <w:rFonts w:hAnsi="宋体"/>
          <w:b/>
          <w:sz w:val="32"/>
          <w:u w:val="single"/>
        </w:rPr>
        <w:t xml:space="preserve">   </w:t>
      </w:r>
      <w:r w:rsidR="007D5838">
        <w:rPr>
          <w:rFonts w:hAnsi="宋体" w:hint="eastAsia"/>
          <w:b/>
          <w:sz w:val="32"/>
          <w:u w:val="single"/>
        </w:rPr>
        <w:t xml:space="preserve">10 </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7D5838">
        <w:rPr>
          <w:rFonts w:hAnsi="宋体" w:hint="eastAsia"/>
          <w:b/>
          <w:sz w:val="32"/>
          <w:u w:val="single"/>
        </w:rPr>
        <w:t>8</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w:t>
      </w:r>
      <w:proofErr w:type="gramStart"/>
      <w:r>
        <w:rPr>
          <w:rFonts w:ascii="宋体" w:hAnsi="宋体" w:hint="eastAsia"/>
          <w:sz w:val="24"/>
        </w:rPr>
        <w:t>或季向环保</w:t>
      </w:r>
      <w:proofErr w:type="gramEnd"/>
      <w:r>
        <w:rPr>
          <w:rFonts w:ascii="宋体" w:hAnsi="宋体" w:hint="eastAsia"/>
          <w:sz w:val="24"/>
        </w:rPr>
        <w:t>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w:t>
            </w:r>
            <w:proofErr w:type="gramStart"/>
            <w:r w:rsidRPr="00C86859">
              <w:rPr>
                <w:rFonts w:ascii="宋体" w:hAnsi="宋体" w:hint="eastAsia"/>
                <w:color w:val="000000"/>
                <w:kern w:val="0"/>
                <w:sz w:val="24"/>
                <w:szCs w:val="24"/>
              </w:rPr>
              <w:t>千卡)</w:t>
            </w:r>
            <w:proofErr w:type="gramEnd"/>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w:t>
      </w:r>
      <w:proofErr w:type="gramStart"/>
      <w:r w:rsidRPr="00B4444E">
        <w:rPr>
          <w:rFonts w:ascii="宋体" w:hAnsi="宋体" w:hint="eastAsia"/>
          <w:sz w:val="24"/>
          <w:szCs w:val="24"/>
        </w:rPr>
        <w:t>和</w:t>
      </w:r>
      <w:proofErr w:type="gramEnd"/>
      <w:r w:rsidRPr="00B4444E">
        <w:rPr>
          <w:rFonts w:ascii="宋体" w:hAnsi="宋体" w:hint="eastAsia"/>
          <w:sz w:val="24"/>
          <w:szCs w:val="24"/>
        </w:rPr>
        <w:t>。</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w:t>
      </w:r>
      <w:proofErr w:type="gramStart"/>
      <w:r w:rsidRPr="00B4444E">
        <w:rPr>
          <w:rFonts w:ascii="宋体" w:hAnsi="宋体" w:hint="eastAsia"/>
          <w:sz w:val="24"/>
          <w:szCs w:val="24"/>
        </w:rPr>
        <w:t>含经处理</w:t>
      </w:r>
      <w:proofErr w:type="gramEnd"/>
      <w:r w:rsidRPr="00B4444E">
        <w:rPr>
          <w:rFonts w:ascii="宋体" w:hAnsi="宋体" w:hint="eastAsia"/>
          <w:sz w:val="24"/>
          <w:szCs w:val="24"/>
        </w:rPr>
        <w:t>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BE1E61" w:rsidP="001C1AAA">
            <w:pPr>
              <w:widowControl/>
              <w:jc w:val="center"/>
              <w:rPr>
                <w:rFonts w:ascii="宋体" w:hAnsi="宋体"/>
                <w:color w:val="000000"/>
                <w:kern w:val="0"/>
                <w:sz w:val="24"/>
                <w:szCs w:val="24"/>
              </w:rPr>
            </w:pPr>
            <w:r>
              <w:rPr>
                <w:rFonts w:ascii="宋体" w:hAnsi="宋体" w:hint="eastAsia"/>
                <w:color w:val="000000"/>
                <w:kern w:val="0"/>
                <w:sz w:val="24"/>
                <w:szCs w:val="24"/>
              </w:rPr>
              <w:t>26</w:t>
            </w:r>
            <w:r w:rsidR="001C1AAA">
              <w:rPr>
                <w:rFonts w:ascii="宋体" w:hAnsi="宋体" w:hint="eastAsia"/>
                <w:color w:val="000000"/>
                <w:kern w:val="0"/>
                <w:sz w:val="24"/>
                <w:szCs w:val="24"/>
              </w:rPr>
              <w:t>95</w:t>
            </w:r>
            <w:r>
              <w:rPr>
                <w:rFonts w:ascii="宋体" w:hAnsi="宋体" w:hint="eastAsia"/>
                <w:color w:val="000000"/>
                <w:kern w:val="0"/>
                <w:sz w:val="24"/>
                <w:szCs w:val="24"/>
              </w:rPr>
              <w:t>.6</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w:t>
            </w:r>
            <w:proofErr w:type="gramStart"/>
            <w:r w:rsidRPr="001C109B">
              <w:rPr>
                <w:rFonts w:ascii="宋体" w:hAnsi="宋体" w:hint="eastAsia"/>
                <w:color w:val="000000"/>
                <w:kern w:val="0"/>
                <w:sz w:val="24"/>
                <w:szCs w:val="24"/>
              </w:rPr>
              <w:t>毫克/</w:t>
            </w:r>
            <w:proofErr w:type="gramEnd"/>
            <w:r w:rsidRPr="001C109B">
              <w:rPr>
                <w:rFonts w:ascii="宋体" w:hAnsi="宋体" w:hint="eastAsia"/>
                <w:color w:val="000000"/>
                <w:kern w:val="0"/>
                <w:sz w:val="24"/>
                <w:szCs w:val="24"/>
              </w:rPr>
              <w:t>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w:t>
            </w:r>
            <w:proofErr w:type="gramStart"/>
            <w:r w:rsidRPr="001C109B">
              <w:rPr>
                <w:rFonts w:ascii="宋体" w:hAnsi="宋体" w:hint="eastAsia"/>
                <w:color w:val="000000"/>
                <w:kern w:val="0"/>
                <w:sz w:val="24"/>
                <w:szCs w:val="24"/>
              </w:rPr>
              <w:t>千克)</w:t>
            </w:r>
            <w:proofErr w:type="gramEnd"/>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BE1E61" w:rsidP="001C1AAA">
            <w:pPr>
              <w:widowControl/>
              <w:jc w:val="center"/>
              <w:rPr>
                <w:rFonts w:ascii="宋体" w:hAnsi="宋体"/>
                <w:color w:val="000000"/>
                <w:kern w:val="0"/>
                <w:sz w:val="24"/>
                <w:szCs w:val="24"/>
              </w:rPr>
            </w:pPr>
            <w:r>
              <w:rPr>
                <w:rFonts w:ascii="宋体" w:hAnsi="宋体" w:hint="eastAsia"/>
                <w:color w:val="000000"/>
                <w:kern w:val="0"/>
                <w:sz w:val="24"/>
                <w:szCs w:val="24"/>
              </w:rPr>
              <w:t>13</w:t>
            </w:r>
            <w:r w:rsidR="001C1AAA">
              <w:rPr>
                <w:rFonts w:ascii="宋体" w:hAnsi="宋体" w:hint="eastAsia"/>
                <w:color w:val="000000"/>
                <w:kern w:val="0"/>
                <w:sz w:val="24"/>
                <w:szCs w:val="24"/>
              </w:rPr>
              <w:t>65</w:t>
            </w:r>
            <w:r>
              <w:rPr>
                <w:rFonts w:ascii="宋体" w:hAnsi="宋体" w:hint="eastAsia"/>
                <w:color w:val="000000"/>
                <w:kern w:val="0"/>
                <w:sz w:val="24"/>
                <w:szCs w:val="24"/>
              </w:rPr>
              <w:t>3</w:t>
            </w:r>
            <w:r w:rsidR="002C39D0">
              <w:rPr>
                <w:rFonts w:ascii="宋体" w:hAnsi="宋体" w:hint="eastAsia"/>
                <w:color w:val="000000"/>
                <w:kern w:val="0"/>
                <w:sz w:val="24"/>
                <w:szCs w:val="24"/>
              </w:rPr>
              <w:t>000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w:t>
      </w:r>
      <w:proofErr w:type="gramStart"/>
      <w:r w:rsidRPr="001C109B">
        <w:rPr>
          <w:rFonts w:ascii="宋体" w:hAnsi="宋体" w:hint="eastAsia"/>
          <w:sz w:val="24"/>
          <w:szCs w:val="24"/>
        </w:rPr>
        <w:t>排放口需逐个</w:t>
      </w:r>
      <w:proofErr w:type="gramEnd"/>
      <w:r w:rsidRPr="001C109B">
        <w:rPr>
          <w:rFonts w:ascii="宋体" w:hAnsi="宋体" w:hint="eastAsia"/>
          <w:sz w:val="24"/>
          <w:szCs w:val="24"/>
        </w:rPr>
        <w:t>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w:t>
      </w:r>
      <w:proofErr w:type="gramStart"/>
      <w:r w:rsidRPr="001C109B">
        <w:rPr>
          <w:rFonts w:ascii="宋体" w:hAnsi="宋体" w:hint="eastAsia"/>
          <w:sz w:val="24"/>
          <w:szCs w:val="24"/>
        </w:rPr>
        <w:t>排放口某污染物</w:t>
      </w:r>
      <w:proofErr w:type="gramEnd"/>
      <w:r w:rsidRPr="001C109B">
        <w:rPr>
          <w:rFonts w:ascii="宋体" w:hAnsi="宋体" w:hint="eastAsia"/>
          <w:sz w:val="24"/>
          <w:szCs w:val="24"/>
        </w:rPr>
        <w:t>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w:t>
            </w:r>
            <w:proofErr w:type="gramStart"/>
            <w:r w:rsidRPr="001C109B">
              <w:rPr>
                <w:rFonts w:ascii="宋体" w:hAnsi="宋体" w:hint="eastAsia"/>
                <w:color w:val="000000"/>
                <w:kern w:val="0"/>
                <w:sz w:val="18"/>
              </w:rPr>
              <w:t>万标立方米</w:t>
            </w:r>
            <w:proofErr w:type="gramEnd"/>
            <w:r w:rsidRPr="001C109B">
              <w:rPr>
                <w:rFonts w:ascii="宋体" w:hAnsi="宋体" w:hint="eastAsia"/>
                <w:color w:val="000000"/>
                <w:kern w:val="0"/>
                <w:sz w:val="18"/>
              </w:rPr>
              <w:t>)</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w:t>
            </w:r>
            <w:proofErr w:type="gramStart"/>
            <w:r w:rsidRPr="001C109B">
              <w:rPr>
                <w:rFonts w:ascii="宋体" w:hAnsi="宋体" w:hint="eastAsia"/>
                <w:color w:val="000000"/>
                <w:kern w:val="0"/>
                <w:sz w:val="18"/>
              </w:rPr>
              <w:t>毫克/</w:t>
            </w:r>
            <w:proofErr w:type="gramEnd"/>
            <w:r w:rsidRPr="001C109B">
              <w:rPr>
                <w:rFonts w:ascii="宋体" w:hAnsi="宋体" w:hint="eastAsia"/>
                <w:color w:val="000000"/>
                <w:kern w:val="0"/>
                <w:sz w:val="18"/>
              </w:rPr>
              <w:t>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w:t>
            </w:r>
            <w:proofErr w:type="gramStart"/>
            <w:r w:rsidRPr="001C109B">
              <w:rPr>
                <w:rFonts w:ascii="宋体" w:hAnsi="宋体" w:hint="eastAsia"/>
                <w:color w:val="000000"/>
                <w:kern w:val="0"/>
                <w:sz w:val="18"/>
              </w:rPr>
              <w:t>千克/</w:t>
            </w:r>
            <w:proofErr w:type="gramEnd"/>
            <w:r w:rsidRPr="001C109B">
              <w:rPr>
                <w:rFonts w:ascii="宋体" w:hAnsi="宋体" w:hint="eastAsia"/>
                <w:color w:val="000000"/>
                <w:kern w:val="0"/>
                <w:sz w:val="18"/>
              </w:rPr>
              <w:t>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w:t>
            </w:r>
            <w:proofErr w:type="gramStart"/>
            <w:r w:rsidRPr="001C109B">
              <w:rPr>
                <w:rFonts w:ascii="宋体" w:hAnsi="宋体" w:hint="eastAsia"/>
                <w:color w:val="000000"/>
                <w:kern w:val="0"/>
                <w:sz w:val="18"/>
              </w:rPr>
              <w:t>千克)</w:t>
            </w:r>
            <w:proofErr w:type="gramEnd"/>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w:t>
            </w:r>
            <w:proofErr w:type="gramStart"/>
            <w:r>
              <w:rPr>
                <w:rFonts w:ascii="宋体" w:hAnsi="宋体" w:hint="eastAsia"/>
                <w:color w:val="000000"/>
                <w:kern w:val="0"/>
                <w:sz w:val="18"/>
              </w:rPr>
              <w:t>万标立方米</w:t>
            </w:r>
            <w:proofErr w:type="gramEnd"/>
            <w:r>
              <w:rPr>
                <w:rFonts w:ascii="宋体" w:hAnsi="宋体" w:hint="eastAsia"/>
                <w:color w:val="000000"/>
                <w:kern w:val="0"/>
                <w:sz w:val="18"/>
              </w:rPr>
              <w:t>)</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w:t>
            </w:r>
            <w:proofErr w:type="gramStart"/>
            <w:r>
              <w:rPr>
                <w:rFonts w:ascii="宋体" w:hAnsi="宋体" w:hint="eastAsia"/>
                <w:color w:val="000000"/>
                <w:kern w:val="0"/>
                <w:sz w:val="18"/>
              </w:rPr>
              <w:t>毫克/</w:t>
            </w:r>
            <w:proofErr w:type="gramEnd"/>
            <w:r>
              <w:rPr>
                <w:rFonts w:ascii="宋体" w:hAnsi="宋体" w:hint="eastAsia"/>
                <w:color w:val="000000"/>
                <w:kern w:val="0"/>
                <w:sz w:val="18"/>
              </w:rPr>
              <w:t>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w:t>
            </w:r>
            <w:proofErr w:type="gramStart"/>
            <w:r>
              <w:rPr>
                <w:rFonts w:ascii="宋体" w:hAnsi="宋体" w:hint="eastAsia"/>
                <w:color w:val="000000"/>
                <w:kern w:val="0"/>
                <w:sz w:val="18"/>
              </w:rPr>
              <w:t>千克)</w:t>
            </w:r>
            <w:proofErr w:type="gramEnd"/>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proofErr w:type="gramStart"/>
      <w:r w:rsidRPr="001C109B">
        <w:rPr>
          <w:rFonts w:ascii="宋体" w:hAnsi="宋体" w:hint="eastAsia"/>
          <w:sz w:val="24"/>
          <w:szCs w:val="24"/>
        </w:rPr>
        <w:t>染物名称</w:t>
      </w:r>
      <w:proofErr w:type="gramEnd"/>
      <w:r w:rsidRPr="001C109B">
        <w:rPr>
          <w:rFonts w:ascii="宋体" w:hAnsi="宋体" w:hint="eastAsia"/>
          <w:sz w:val="24"/>
          <w:szCs w:val="24"/>
        </w:rPr>
        <w:t>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w:t>
            </w:r>
            <w:proofErr w:type="gramStart"/>
            <w:r>
              <w:rPr>
                <w:rFonts w:ascii="宋体" w:hAnsi="宋体" w:hint="eastAsia"/>
                <w:sz w:val="18"/>
              </w:rPr>
              <w:t>源性质</w:t>
            </w:r>
            <w:proofErr w:type="gramEnd"/>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proofErr w:type="spellStart"/>
            <w:r>
              <w:rPr>
                <w:rFonts w:ascii="宋体" w:hAnsi="宋体"/>
                <w:sz w:val="18"/>
              </w:rPr>
              <w:t>Leq</w:t>
            </w:r>
            <w:proofErr w:type="spellEnd"/>
            <w:r>
              <w:rPr>
                <w:rFonts w:ascii="宋体" w:hAnsi="宋体"/>
                <w:sz w:val="18"/>
              </w:rPr>
              <w:t xml:space="preserve">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proofErr w:type="spellStart"/>
            <w:r>
              <w:rPr>
                <w:rFonts w:ascii="宋体" w:hAnsi="宋体"/>
                <w:sz w:val="18"/>
              </w:rPr>
              <w:t>Leq</w:t>
            </w:r>
            <w:proofErr w:type="spellEnd"/>
            <w:r>
              <w:rPr>
                <w:rFonts w:ascii="宋体" w:hAnsi="宋体"/>
                <w:sz w:val="18"/>
              </w:rPr>
              <w:t xml:space="preserve">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5418C0" w:rsidP="005418C0">
            <w:pPr>
              <w:widowControl/>
              <w:rPr>
                <w:rFonts w:ascii="宋体" w:hAnsi="宋体"/>
                <w:kern w:val="0"/>
                <w:sz w:val="18"/>
              </w:rPr>
            </w:pPr>
            <w:r>
              <w:rPr>
                <w:rFonts w:ascii="宋体" w:hAnsi="宋体" w:hint="eastAsia"/>
                <w:kern w:val="0"/>
                <w:sz w:val="18"/>
              </w:rPr>
              <w:t xml:space="preserve">  </w:t>
            </w:r>
            <w:r w:rsidR="00FE6D83">
              <w:rPr>
                <w:rFonts w:ascii="宋体" w:hAnsi="宋体" w:hint="eastAsia"/>
                <w:kern w:val="0"/>
                <w:sz w:val="18"/>
              </w:rPr>
              <w:t>32</w:t>
            </w:r>
            <w:r w:rsidR="00097193">
              <w:rPr>
                <w:rFonts w:ascii="宋体" w:hAnsi="宋体" w:hint="eastAsia"/>
                <w:kern w:val="0"/>
                <w:sz w:val="18"/>
              </w:rPr>
              <w:t>.</w:t>
            </w:r>
            <w:r w:rsidR="00FE6D83">
              <w:rPr>
                <w:rFonts w:ascii="宋体" w:hAnsi="宋体" w:hint="eastAsia"/>
                <w:kern w:val="0"/>
                <w:sz w:val="18"/>
              </w:rPr>
              <w:t>55</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default" r:id="rId7"/>
      <w:footerReference w:type="even" r:id="rId8"/>
      <w:footerReference w:type="default" r:id="rId9"/>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48" w:rsidRDefault="00F37C48">
      <w:r>
        <w:separator/>
      </w:r>
    </w:p>
  </w:endnote>
  <w:endnote w:type="continuationSeparator" w:id="1">
    <w:p w:rsidR="00F37C48" w:rsidRDefault="00F3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651D0E">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651D0E" w:rsidRPr="008560C1">
      <w:rPr>
        <w:rFonts w:ascii="宋体" w:hAnsi="宋体"/>
        <w:sz w:val="26"/>
        <w:szCs w:val="26"/>
      </w:rPr>
      <w:fldChar w:fldCharType="begin"/>
    </w:r>
    <w:r w:rsidRPr="008560C1">
      <w:rPr>
        <w:rStyle w:val="ab"/>
        <w:rFonts w:ascii="宋体" w:hAnsi="宋体"/>
        <w:sz w:val="26"/>
        <w:szCs w:val="26"/>
      </w:rPr>
      <w:instrText xml:space="preserve">PAGE  </w:instrText>
    </w:r>
    <w:r w:rsidR="00651D0E" w:rsidRPr="008560C1">
      <w:rPr>
        <w:rFonts w:ascii="宋体" w:hAnsi="宋体"/>
        <w:sz w:val="26"/>
        <w:szCs w:val="26"/>
      </w:rPr>
      <w:fldChar w:fldCharType="separate"/>
    </w:r>
    <w:r w:rsidR="001C1AAA">
      <w:rPr>
        <w:rStyle w:val="ab"/>
        <w:rFonts w:ascii="宋体" w:hAnsi="宋体"/>
        <w:noProof/>
        <w:sz w:val="26"/>
        <w:szCs w:val="26"/>
      </w:rPr>
      <w:t>28</w:t>
    </w:r>
    <w:r w:rsidR="00651D0E"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48" w:rsidRDefault="00F37C48">
      <w:r>
        <w:separator/>
      </w:r>
    </w:p>
  </w:footnote>
  <w:footnote w:type="continuationSeparator" w:id="1">
    <w:p w:rsidR="00F37C48" w:rsidRDefault="00F37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7193"/>
    <w:rsid w:val="000A6166"/>
    <w:rsid w:val="00172A27"/>
    <w:rsid w:val="001A723A"/>
    <w:rsid w:val="001C109B"/>
    <w:rsid w:val="001C1AAA"/>
    <w:rsid w:val="00237C33"/>
    <w:rsid w:val="002C39D0"/>
    <w:rsid w:val="00376477"/>
    <w:rsid w:val="00441A56"/>
    <w:rsid w:val="00475B54"/>
    <w:rsid w:val="004A5889"/>
    <w:rsid w:val="004C0E8F"/>
    <w:rsid w:val="005418C0"/>
    <w:rsid w:val="005F1F42"/>
    <w:rsid w:val="006322AF"/>
    <w:rsid w:val="00651D0E"/>
    <w:rsid w:val="006A65EA"/>
    <w:rsid w:val="007C419B"/>
    <w:rsid w:val="007D5838"/>
    <w:rsid w:val="00824E02"/>
    <w:rsid w:val="008560C1"/>
    <w:rsid w:val="008F0EDA"/>
    <w:rsid w:val="008F7AAB"/>
    <w:rsid w:val="009E7928"/>
    <w:rsid w:val="00A569E9"/>
    <w:rsid w:val="00B4444E"/>
    <w:rsid w:val="00B534D5"/>
    <w:rsid w:val="00BE1E61"/>
    <w:rsid w:val="00C86859"/>
    <w:rsid w:val="00D12D89"/>
    <w:rsid w:val="00D65BA7"/>
    <w:rsid w:val="00D80233"/>
    <w:rsid w:val="00D81BFC"/>
    <w:rsid w:val="00E0161F"/>
    <w:rsid w:val="00F37C48"/>
    <w:rsid w:val="00F62451"/>
    <w:rsid w:val="00FD0FA9"/>
    <w:rsid w:val="00FE6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4D5"/>
    <w:pPr>
      <w:widowControl w:val="0"/>
      <w:jc w:val="both"/>
    </w:pPr>
    <w:rPr>
      <w:kern w:val="2"/>
      <w:sz w:val="21"/>
    </w:rPr>
  </w:style>
  <w:style w:type="paragraph" w:styleId="1">
    <w:name w:val="heading 1"/>
    <w:basedOn w:val="a"/>
    <w:next w:val="a"/>
    <w:link w:val="1Char"/>
    <w:qFormat/>
    <w:rsid w:val="00B534D5"/>
    <w:pPr>
      <w:keepNext/>
      <w:keepLines/>
      <w:spacing w:before="340" w:after="330" w:line="576" w:lineRule="auto"/>
      <w:outlineLvl w:val="0"/>
    </w:pPr>
    <w:rPr>
      <w:b/>
      <w:kern w:val="44"/>
      <w:sz w:val="44"/>
    </w:rPr>
  </w:style>
  <w:style w:type="paragraph" w:styleId="2">
    <w:name w:val="heading 2"/>
    <w:basedOn w:val="a"/>
    <w:next w:val="a"/>
    <w:link w:val="2Char"/>
    <w:qFormat/>
    <w:rsid w:val="00B534D5"/>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534D5"/>
    <w:rPr>
      <w:sz w:val="18"/>
    </w:rPr>
  </w:style>
  <w:style w:type="character" w:customStyle="1" w:styleId="1Char">
    <w:name w:val="标题 1 Char"/>
    <w:link w:val="1"/>
    <w:rsid w:val="00B534D5"/>
    <w:rPr>
      <w:b/>
      <w:kern w:val="44"/>
      <w:sz w:val="44"/>
    </w:rPr>
  </w:style>
  <w:style w:type="character" w:customStyle="1" w:styleId="Char0">
    <w:name w:val="纯文本 Char"/>
    <w:link w:val="a4"/>
    <w:rsid w:val="00B534D5"/>
    <w:rPr>
      <w:rFonts w:ascii="宋体" w:hAnsi="Courier New"/>
      <w:kern w:val="2"/>
      <w:sz w:val="21"/>
    </w:rPr>
  </w:style>
  <w:style w:type="character" w:styleId="a5">
    <w:name w:val="annotation reference"/>
    <w:rsid w:val="00B534D5"/>
    <w:rPr>
      <w:sz w:val="21"/>
    </w:rPr>
  </w:style>
  <w:style w:type="character" w:customStyle="1" w:styleId="Char1">
    <w:name w:val="页眉 Char"/>
    <w:link w:val="a6"/>
    <w:rsid w:val="00B534D5"/>
    <w:rPr>
      <w:sz w:val="18"/>
    </w:rPr>
  </w:style>
  <w:style w:type="character" w:customStyle="1" w:styleId="Char2">
    <w:name w:val="批注框文本 Char"/>
    <w:link w:val="a7"/>
    <w:rsid w:val="00B534D5"/>
    <w:rPr>
      <w:kern w:val="2"/>
      <w:sz w:val="18"/>
    </w:rPr>
  </w:style>
  <w:style w:type="character" w:customStyle="1" w:styleId="Char3">
    <w:name w:val="正文文本缩进 Char"/>
    <w:link w:val="a8"/>
    <w:rsid w:val="00B534D5"/>
    <w:rPr>
      <w:rFonts w:ascii="Times New Roman" w:hAnsi="Times New Roman"/>
      <w:kern w:val="2"/>
      <w:sz w:val="21"/>
    </w:rPr>
  </w:style>
  <w:style w:type="character" w:customStyle="1" w:styleId="2Char">
    <w:name w:val="标题 2 Char"/>
    <w:link w:val="2"/>
    <w:rsid w:val="00B534D5"/>
    <w:rPr>
      <w:rFonts w:ascii="Cambria" w:eastAsia="宋体" w:hAnsi="Cambria"/>
      <w:b/>
      <w:sz w:val="32"/>
    </w:rPr>
  </w:style>
  <w:style w:type="character" w:styleId="a9">
    <w:name w:val="Hyperlink"/>
    <w:rsid w:val="00B534D5"/>
    <w:rPr>
      <w:color w:val="0000CC"/>
      <w:u w:val="single"/>
    </w:rPr>
  </w:style>
  <w:style w:type="character" w:customStyle="1" w:styleId="Char4">
    <w:name w:val="批注主题 Char"/>
    <w:link w:val="aa"/>
    <w:rsid w:val="00B534D5"/>
    <w:rPr>
      <w:b/>
      <w:kern w:val="2"/>
      <w:sz w:val="21"/>
    </w:rPr>
  </w:style>
  <w:style w:type="character" w:styleId="ab">
    <w:name w:val="page number"/>
    <w:basedOn w:val="a0"/>
    <w:rsid w:val="00B534D5"/>
  </w:style>
  <w:style w:type="character" w:customStyle="1" w:styleId="Char5">
    <w:name w:val="批注文字 Char"/>
    <w:link w:val="ac"/>
    <w:rsid w:val="00B534D5"/>
    <w:rPr>
      <w:kern w:val="2"/>
      <w:sz w:val="21"/>
    </w:rPr>
  </w:style>
  <w:style w:type="paragraph" w:styleId="aa">
    <w:name w:val="annotation subject"/>
    <w:basedOn w:val="ac"/>
    <w:next w:val="ac"/>
    <w:link w:val="Char4"/>
    <w:rsid w:val="00B534D5"/>
    <w:rPr>
      <w:b/>
    </w:rPr>
  </w:style>
  <w:style w:type="paragraph" w:styleId="a3">
    <w:name w:val="footer"/>
    <w:basedOn w:val="a"/>
    <w:link w:val="Char"/>
    <w:rsid w:val="00B534D5"/>
    <w:pPr>
      <w:tabs>
        <w:tab w:val="center" w:pos="4153"/>
        <w:tab w:val="right" w:pos="8306"/>
      </w:tabs>
      <w:snapToGrid w:val="0"/>
      <w:jc w:val="left"/>
    </w:pPr>
    <w:rPr>
      <w:kern w:val="0"/>
      <w:sz w:val="18"/>
    </w:rPr>
  </w:style>
  <w:style w:type="paragraph" w:styleId="a8">
    <w:name w:val="Body Text Indent"/>
    <w:basedOn w:val="a"/>
    <w:link w:val="Char3"/>
    <w:rsid w:val="00B534D5"/>
    <w:pPr>
      <w:jc w:val="left"/>
    </w:pPr>
    <w:rPr>
      <w:rFonts w:ascii="Times New Roman" w:hAnsi="Times New Roman"/>
    </w:rPr>
  </w:style>
  <w:style w:type="paragraph" w:styleId="a7">
    <w:name w:val="Balloon Text"/>
    <w:basedOn w:val="a"/>
    <w:link w:val="Char2"/>
    <w:rsid w:val="00B534D5"/>
    <w:rPr>
      <w:sz w:val="18"/>
    </w:rPr>
  </w:style>
  <w:style w:type="paragraph" w:styleId="a4">
    <w:name w:val="Plain Text"/>
    <w:basedOn w:val="a"/>
    <w:link w:val="Char0"/>
    <w:rsid w:val="00B534D5"/>
    <w:rPr>
      <w:rFonts w:ascii="宋体" w:hAnsi="Courier New"/>
    </w:rPr>
  </w:style>
  <w:style w:type="paragraph" w:styleId="a6">
    <w:name w:val="header"/>
    <w:basedOn w:val="a"/>
    <w:link w:val="Char1"/>
    <w:rsid w:val="00B534D5"/>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B534D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4300</Words>
  <Characters>1462</Characters>
  <Application>Microsoft Office Word</Application>
  <DocSecurity>0</DocSecurity>
  <PresentationFormat/>
  <Lines>12</Lines>
  <Paragraphs>11</Paragraphs>
  <Slides>0</Slides>
  <Notes>0</Notes>
  <HiddenSlides>0</HiddenSlides>
  <MMClips>0</MMClips>
  <ScaleCrop>false</ScaleCrop>
  <Company>jointsky</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杨志强</cp:lastModifiedBy>
  <cp:revision>3</cp:revision>
  <cp:lastPrinted>2017-03-21T06:45:00Z</cp:lastPrinted>
  <dcterms:created xsi:type="dcterms:W3CDTF">2018-10-24T00:55:00Z</dcterms:created>
  <dcterms:modified xsi:type="dcterms:W3CDTF">2018-10-24T01:16:00Z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